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2</w:t>
      </w:r>
    </w:p>
    <w:p>
      <w:pPr>
        <w:pStyle w:val="Heading 2"/>
        <w:bidi w:val="0"/>
      </w:pPr>
      <w:r>
        <w:rPr>
          <w:rtl w:val="0"/>
        </w:rPr>
        <w:t>VCO1 modulated by VCO2 (LFO)</w:t>
      </w:r>
    </w:p>
    <w:p>
      <w:pPr>
        <w:pStyle w:val="Body"/>
        <w:bidi w:val="0"/>
      </w:pPr>
      <w:r>
        <w:rPr>
          <w:rtl w:val="0"/>
        </w:rPr>
        <w:t>Change VCO2 ST, change VCO1 Exp FM Depth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Low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Fixed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b w:val="1"/>
                <w:bCs w:val="1"/>
                <w:rtl w:val="0"/>
                <w:lang w:val="en-US"/>
              </w:rPr>
              <w:t>60.00ST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0.061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